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E6" w:rsidRPr="001A4DE6" w:rsidRDefault="001A4DE6" w:rsidP="001A4DE6">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1A4DE6">
        <w:rPr>
          <w:rFonts w:ascii="Times New Roman" w:eastAsia="Times New Roman" w:hAnsi="Times New Roman" w:cs="Times New Roman"/>
          <w:b/>
          <w:bCs/>
          <w:kern w:val="36"/>
          <w:sz w:val="48"/>
          <w:szCs w:val="48"/>
          <w:lang w:eastAsia="it-IT"/>
        </w:rPr>
        <w:t xml:space="preserve">Credito d’imposta per investimenti in beni strumentali </w:t>
      </w:r>
    </w:p>
    <w:p w:rsidR="001A4DE6" w:rsidRPr="001A4DE6" w:rsidRDefault="001A4DE6" w:rsidP="001A4DE6">
      <w:pPr>
        <w:spacing w:after="0"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 xml:space="preserve">Avvertenza </w:t>
      </w:r>
    </w:p>
    <w:p w:rsidR="001A4DE6" w:rsidRPr="001A4DE6" w:rsidRDefault="001A4DE6" w:rsidP="001A4DE6">
      <w:p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La legge 27 dicembre 2019, n. 160 del 2019 – recante “Bilancio di previsione dello Stato per l’anno finanziario 2020 e bilancio pluriennale per il triennio 2020-2022” – ha operato una ridefinizione della disciplina degli incentivi fiscali collegati al “</w:t>
      </w:r>
      <w:r w:rsidRPr="001A4DE6">
        <w:rPr>
          <w:rFonts w:ascii="Times New Roman" w:eastAsia="Times New Roman" w:hAnsi="Times New Roman" w:cs="Times New Roman"/>
          <w:sz w:val="24"/>
          <w:szCs w:val="24"/>
          <w:u w:val="single"/>
          <w:lang w:eastAsia="it-IT"/>
        </w:rPr>
        <w:t>Piano nazionale Impresa 4.0” e,</w:t>
      </w:r>
      <w:r w:rsidRPr="001A4DE6">
        <w:rPr>
          <w:rFonts w:ascii="Times New Roman" w:eastAsia="Times New Roman" w:hAnsi="Times New Roman" w:cs="Times New Roman"/>
          <w:sz w:val="24"/>
          <w:szCs w:val="24"/>
          <w:lang w:eastAsia="it-IT"/>
        </w:rPr>
        <w:t xml:space="preserve"> in particolare, di quelli concernenti gli investimenti in beni strumentali, in attività di ricerca e sviluppo, innovazione tecnologica e altre attività innovative e in formazione 4.0.</w:t>
      </w:r>
    </w:p>
    <w:p w:rsidR="001A4DE6" w:rsidRPr="001A4DE6" w:rsidRDefault="001A4DE6" w:rsidP="001A4DE6">
      <w:p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u w:val="single"/>
          <w:lang w:eastAsia="it-IT"/>
        </w:rPr>
        <w:t>Nell’ambito di tale intervento, è stato previsto che le imprese che si avvalgono di tali discipline effettuino una comunicazione al Ministero dello Sviluppo Economico</w:t>
      </w:r>
      <w:r w:rsidRPr="001A4DE6">
        <w:rPr>
          <w:rFonts w:ascii="Times New Roman" w:eastAsia="Times New Roman" w:hAnsi="Times New Roman" w:cs="Times New Roman"/>
          <w:sz w:val="24"/>
          <w:szCs w:val="24"/>
          <w:lang w:eastAsia="it-IT"/>
        </w:rPr>
        <w:t xml:space="preserve">. </w:t>
      </w:r>
    </w:p>
    <w:p w:rsidR="001A4DE6" w:rsidRPr="001A4DE6" w:rsidRDefault="001A4DE6" w:rsidP="001A4DE6">
      <w:p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Coerentemente con le evidenziate finalità, si precisa che la comunicazione andrà inviata a consuntivo, vale a dire successivamente alla chiusura del periodo d’imposta in cui sono stati effettuati gli investimenti ammissibili alle discipline agevolative.</w:t>
      </w:r>
    </w:p>
    <w:p w:rsidR="001A4DE6" w:rsidRPr="001A4DE6" w:rsidRDefault="001A4DE6" w:rsidP="001A4DE6">
      <w:p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Il modello, il contenuto, le modalità e i termini di invio della suddetta comunicazione saranno stabiliti con apposito decreto direttoriale di prossima emanazione.</w:t>
      </w:r>
    </w:p>
    <w:p w:rsidR="001A4DE6" w:rsidRPr="001A4DE6" w:rsidRDefault="001A4DE6" w:rsidP="001A4DE6">
      <w:pPr>
        <w:spacing w:after="0"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 xml:space="preserve">Avvertenza 13 ottobre 2020 </w:t>
      </w:r>
    </w:p>
    <w:p w:rsidR="001A4DE6" w:rsidRPr="001A4DE6" w:rsidRDefault="001A4DE6" w:rsidP="001A4DE6">
      <w:p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 xml:space="preserve">In relazione all’applicazione della disciplina del credito d’imposta per gli investimenti in beni strumentali di cui all’articolo 1, commi 185-197, della legge 27 dicembre 2019, n. 160, sono pervenuti a questo Ministero numerosi quesiti concernenti la corretta interpretazione della disposizione in materia di adempimenti documentali, prevista dal comma 195 del predetto articolo 1. Tale disposizione, si ricorda, richiede che </w:t>
      </w:r>
      <w:r w:rsidRPr="001A4DE6">
        <w:rPr>
          <w:rFonts w:ascii="Times New Roman" w:eastAsia="Times New Roman" w:hAnsi="Times New Roman" w:cs="Times New Roman"/>
          <w:i/>
          <w:iCs/>
          <w:sz w:val="24"/>
          <w:szCs w:val="24"/>
          <w:lang w:eastAsia="it-IT"/>
        </w:rPr>
        <w:t>“…le fatture e gli altri documenti relativi all’acquisizione dei beni agevolati devono contenere l’espresso riferimento alle disposizioni dei commi da 184 a 194…</w:t>
      </w:r>
      <w:r w:rsidRPr="001A4DE6">
        <w:rPr>
          <w:rFonts w:ascii="Times New Roman" w:eastAsia="Times New Roman" w:hAnsi="Times New Roman" w:cs="Times New Roman"/>
          <w:sz w:val="24"/>
          <w:szCs w:val="24"/>
          <w:lang w:eastAsia="it-IT"/>
        </w:rPr>
        <w:t>”. In particolare, è stato chiesto se la mancata apposizione di tale espresso riferimento nella fattura di acquisto dei beni possa determinare in sede di controllo il disconoscimento del beneficio.</w:t>
      </w:r>
    </w:p>
    <w:p w:rsidR="001A4DE6" w:rsidRPr="001A4DE6" w:rsidRDefault="001A4DE6" w:rsidP="001A4DE6">
      <w:p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Al riguardo, si segnala che la questione ha formato oggetto di chiarimenti da parte dell’Agenzia delle Entrate.</w:t>
      </w:r>
    </w:p>
    <w:p w:rsidR="001A4DE6" w:rsidRPr="001A4DE6" w:rsidRDefault="001A4DE6" w:rsidP="001A4DE6">
      <w:p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b/>
          <w:sz w:val="24"/>
          <w:szCs w:val="24"/>
          <w:u w:val="single"/>
          <w:lang w:eastAsia="it-IT"/>
        </w:rPr>
        <w:t>In particolare, con la Risposta n. 438 del 5 ottobre 2020, è stato anzitutto precisato che “</w:t>
      </w:r>
      <w:r w:rsidRPr="001A4DE6">
        <w:rPr>
          <w:rFonts w:ascii="Times New Roman" w:eastAsia="Times New Roman" w:hAnsi="Times New Roman" w:cs="Times New Roman"/>
          <w:b/>
          <w:i/>
          <w:iCs/>
          <w:sz w:val="24"/>
          <w:szCs w:val="24"/>
          <w:u w:val="single"/>
          <w:lang w:eastAsia="it-IT"/>
        </w:rPr>
        <w:t>la fattura sprovvista del riferimento all'articolo 1, commi da 184 a 197, della legge 27 dicembre 2019, n. 160, non è considerata documentazione idonea e determina, quindi, in sede di controllo la revoca della quota corrispondente di agevolazione</w:t>
      </w:r>
      <w:r w:rsidRPr="001A4DE6">
        <w:rPr>
          <w:rFonts w:ascii="Times New Roman" w:eastAsia="Times New Roman" w:hAnsi="Times New Roman" w:cs="Times New Roman"/>
          <w:b/>
          <w:sz w:val="24"/>
          <w:szCs w:val="24"/>
          <w:u w:val="single"/>
          <w:lang w:eastAsia="it-IT"/>
        </w:rPr>
        <w:t>”</w:t>
      </w:r>
      <w:r w:rsidRPr="001A4DE6">
        <w:rPr>
          <w:rFonts w:ascii="Times New Roman" w:eastAsia="Times New Roman" w:hAnsi="Times New Roman" w:cs="Times New Roman"/>
          <w:sz w:val="24"/>
          <w:szCs w:val="24"/>
          <w:lang w:eastAsia="it-IT"/>
        </w:rPr>
        <w:t>. L’Agenzia delle Entrate ha, tuttavia, chiarito che tale eventuale irregolarità può essere sanata dal soggetto acquirente, prima che inizino le attività di controllo da parte dell’Amministrazione finanziaria, attraverso diverse modalità. In particolare, nel caso di fattura in formato cartaceo, il riferimento alle disposizioni agevolative può essere riportato dal soggetto acquirente sull'originale di ogni fattura, sia di acconto che di saldo, con scrittura indelebile, anche mediante l'utilizzo di un apposito timbro; nel caso di fattura elettronica, è possibile stampare il documento di spesa apponendo la predetta scritta indelebile oppure, in alternativa, realizzare un'integrazione elettronica da unire all'originale e conservare insieme allo stesso.</w:t>
      </w:r>
    </w:p>
    <w:p w:rsidR="001A4DE6" w:rsidRPr="001A4DE6" w:rsidRDefault="001A4DE6" w:rsidP="001A4DE6">
      <w:p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lastRenderedPageBreak/>
        <w:t xml:space="preserve">Il documento pubblicato dall’Agenzia delle Entrate è consultabile al seguente link: </w:t>
      </w:r>
      <w:hyperlink r:id="rId6" w:history="1">
        <w:r w:rsidRPr="001A4DE6">
          <w:rPr>
            <w:rFonts w:ascii="Times New Roman" w:eastAsia="Times New Roman" w:hAnsi="Times New Roman" w:cs="Times New Roman"/>
            <w:color w:val="0000FF"/>
            <w:sz w:val="24"/>
            <w:szCs w:val="24"/>
            <w:u w:val="single"/>
            <w:lang w:eastAsia="it-IT"/>
          </w:rPr>
          <w:t>Risposta n. 438 del 5 ottobre 2020</w:t>
        </w:r>
      </w:hyperlink>
      <w:r w:rsidRPr="001A4DE6">
        <w:rPr>
          <w:rFonts w:ascii="Times New Roman" w:eastAsia="Times New Roman" w:hAnsi="Times New Roman" w:cs="Times New Roman"/>
          <w:sz w:val="24"/>
          <w:szCs w:val="24"/>
          <w:lang w:eastAsia="it-IT"/>
        </w:rPr>
        <w:t>.</w:t>
      </w:r>
    </w:p>
    <w:p w:rsidR="001A4DE6" w:rsidRPr="001A4DE6" w:rsidRDefault="001A4DE6" w:rsidP="001A4DE6">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A4DE6">
        <w:rPr>
          <w:rFonts w:ascii="Times New Roman" w:eastAsia="Times New Roman" w:hAnsi="Times New Roman" w:cs="Times New Roman"/>
          <w:b/>
          <w:bCs/>
          <w:sz w:val="36"/>
          <w:szCs w:val="36"/>
          <w:lang w:eastAsia="it-IT"/>
        </w:rPr>
        <w:t>A cosa serve</w:t>
      </w:r>
    </w:p>
    <w:p w:rsidR="001A4DE6" w:rsidRPr="001A4DE6" w:rsidRDefault="001A4DE6" w:rsidP="001A4DE6">
      <w:p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Supportare e incentivare le imprese che investono in beni strumentali nuovi, materiali e immateriali, funzionali alla trasformazione tecnologica e digitale dei processi produttivi destinati a strutture produttive ubicate nel territorio dello Stato.</w:t>
      </w:r>
    </w:p>
    <w:p w:rsidR="001A4DE6" w:rsidRPr="001A4DE6" w:rsidRDefault="001A4DE6" w:rsidP="001A4DE6">
      <w:p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 </w:t>
      </w:r>
    </w:p>
    <w:p w:rsidR="001A4DE6" w:rsidRPr="001A4DE6" w:rsidRDefault="001A4DE6" w:rsidP="001A4DE6">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A4DE6">
        <w:rPr>
          <w:rFonts w:ascii="Times New Roman" w:eastAsia="Times New Roman" w:hAnsi="Times New Roman" w:cs="Times New Roman"/>
          <w:b/>
          <w:bCs/>
          <w:sz w:val="36"/>
          <w:szCs w:val="36"/>
          <w:lang w:eastAsia="it-IT"/>
        </w:rPr>
        <w:t>Quali vantaggi</w:t>
      </w:r>
    </w:p>
    <w:p w:rsidR="001A4DE6" w:rsidRPr="001A4DE6" w:rsidRDefault="001A4DE6" w:rsidP="001A4DE6">
      <w:p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 xml:space="preserve">Per gli investimenti in </w:t>
      </w:r>
      <w:r w:rsidRPr="001A4DE6">
        <w:rPr>
          <w:rFonts w:ascii="Times New Roman" w:eastAsia="Times New Roman" w:hAnsi="Times New Roman" w:cs="Times New Roman"/>
          <w:b/>
          <w:bCs/>
          <w:sz w:val="24"/>
          <w:szCs w:val="24"/>
          <w:lang w:eastAsia="it-IT"/>
        </w:rPr>
        <w:t>beni strumentali materiali tecnologicamente avanzati</w:t>
      </w:r>
      <w:r w:rsidRPr="001A4DE6">
        <w:rPr>
          <w:rFonts w:ascii="Times New Roman" w:eastAsia="Times New Roman" w:hAnsi="Times New Roman" w:cs="Times New Roman"/>
          <w:sz w:val="24"/>
          <w:szCs w:val="24"/>
          <w:lang w:eastAsia="it-IT"/>
        </w:rPr>
        <w:t xml:space="preserve"> (</w:t>
      </w:r>
      <w:hyperlink r:id="rId7" w:history="1">
        <w:r w:rsidRPr="001A4DE6">
          <w:rPr>
            <w:rFonts w:ascii="Times New Roman" w:eastAsia="Times New Roman" w:hAnsi="Times New Roman" w:cs="Times New Roman"/>
            <w:color w:val="0000FF"/>
            <w:sz w:val="24"/>
            <w:szCs w:val="24"/>
            <w:u w:val="single"/>
            <w:lang w:eastAsia="it-IT"/>
          </w:rPr>
          <w:t>allegato A</w:t>
        </w:r>
      </w:hyperlink>
      <w:r w:rsidRPr="001A4DE6">
        <w:rPr>
          <w:rFonts w:ascii="Times New Roman" w:eastAsia="Times New Roman" w:hAnsi="Times New Roman" w:cs="Times New Roman"/>
          <w:sz w:val="24"/>
          <w:szCs w:val="24"/>
          <w:lang w:eastAsia="it-IT"/>
        </w:rPr>
        <w:t>, legge 11 dicembre 2016, n. 232) è riconosciuto un credito d'imposta nella misura del:</w:t>
      </w:r>
    </w:p>
    <w:p w:rsidR="001A4DE6" w:rsidRPr="001A4DE6" w:rsidRDefault="001A4DE6" w:rsidP="001A4DE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40% del costo per la quota di investimenti fino a 2,5 milioni di euro</w:t>
      </w:r>
    </w:p>
    <w:p w:rsidR="001A4DE6" w:rsidRPr="001A4DE6" w:rsidRDefault="001A4DE6" w:rsidP="001A4DE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20% del costo per la quota di investimenti oltre i 2,5 milioni di euro e fino al limite di costi complessivamente ammissibili pari a 10 milioni di euro.</w:t>
      </w:r>
    </w:p>
    <w:p w:rsidR="001A4DE6" w:rsidRPr="001A4DE6" w:rsidRDefault="001A4DE6" w:rsidP="001A4DE6">
      <w:p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 xml:space="preserve">Per gli investimenti in </w:t>
      </w:r>
      <w:r w:rsidRPr="001A4DE6">
        <w:rPr>
          <w:rFonts w:ascii="Times New Roman" w:eastAsia="Times New Roman" w:hAnsi="Times New Roman" w:cs="Times New Roman"/>
          <w:b/>
          <w:bCs/>
          <w:sz w:val="24"/>
          <w:szCs w:val="24"/>
          <w:lang w:eastAsia="it-IT"/>
        </w:rPr>
        <w:t>beni strumentali immateriali</w:t>
      </w:r>
      <w:r w:rsidRPr="001A4DE6">
        <w:rPr>
          <w:rFonts w:ascii="Times New Roman" w:eastAsia="Times New Roman" w:hAnsi="Times New Roman" w:cs="Times New Roman"/>
          <w:sz w:val="24"/>
          <w:szCs w:val="24"/>
          <w:lang w:eastAsia="it-IT"/>
        </w:rPr>
        <w:t xml:space="preserve"> funzionali ai processi di trasformazione 4.0 (</w:t>
      </w:r>
      <w:hyperlink r:id="rId8" w:history="1">
        <w:r w:rsidRPr="001A4DE6">
          <w:rPr>
            <w:rFonts w:ascii="Times New Roman" w:eastAsia="Times New Roman" w:hAnsi="Times New Roman" w:cs="Times New Roman"/>
            <w:color w:val="0000FF"/>
            <w:sz w:val="24"/>
            <w:szCs w:val="24"/>
            <w:u w:val="single"/>
            <w:lang w:eastAsia="it-IT"/>
          </w:rPr>
          <w:t>allegato B</w:t>
        </w:r>
      </w:hyperlink>
      <w:r w:rsidRPr="001A4DE6">
        <w:rPr>
          <w:rFonts w:ascii="Times New Roman" w:eastAsia="Times New Roman" w:hAnsi="Times New Roman" w:cs="Times New Roman"/>
          <w:sz w:val="24"/>
          <w:szCs w:val="24"/>
          <w:lang w:eastAsia="it-IT"/>
        </w:rPr>
        <w:t>, legge 11 dicembre 2016, n. 232, come integrato dall'articolo 1, comma 32, della legge 27 dicembre 2017, n. 205) è riconosciuto un credito d'imposta nella misura del:</w:t>
      </w:r>
    </w:p>
    <w:p w:rsidR="001A4DE6" w:rsidRPr="001A4DE6" w:rsidRDefault="001A4DE6" w:rsidP="001A4DE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 xml:space="preserve">15% del costo nel limite massimo dei costi ammissibili pari a 700.000. Si considerano agevolabili anche le spese per servizi sostenute mediante soluzioni di </w:t>
      </w:r>
      <w:proofErr w:type="spellStart"/>
      <w:r w:rsidRPr="001A4DE6">
        <w:rPr>
          <w:rFonts w:ascii="Times New Roman" w:eastAsia="Times New Roman" w:hAnsi="Times New Roman" w:cs="Times New Roman"/>
          <w:sz w:val="24"/>
          <w:szCs w:val="24"/>
          <w:lang w:eastAsia="it-IT"/>
        </w:rPr>
        <w:t>cloud</w:t>
      </w:r>
      <w:proofErr w:type="spellEnd"/>
      <w:r w:rsidRPr="001A4DE6">
        <w:rPr>
          <w:rFonts w:ascii="Times New Roman" w:eastAsia="Times New Roman" w:hAnsi="Times New Roman" w:cs="Times New Roman"/>
          <w:sz w:val="24"/>
          <w:szCs w:val="24"/>
          <w:lang w:eastAsia="it-IT"/>
        </w:rPr>
        <w:t xml:space="preserve"> </w:t>
      </w:r>
      <w:proofErr w:type="spellStart"/>
      <w:r w:rsidRPr="001A4DE6">
        <w:rPr>
          <w:rFonts w:ascii="Times New Roman" w:eastAsia="Times New Roman" w:hAnsi="Times New Roman" w:cs="Times New Roman"/>
          <w:sz w:val="24"/>
          <w:szCs w:val="24"/>
          <w:lang w:eastAsia="it-IT"/>
        </w:rPr>
        <w:t>computing</w:t>
      </w:r>
      <w:proofErr w:type="spellEnd"/>
      <w:r w:rsidRPr="001A4DE6">
        <w:rPr>
          <w:rFonts w:ascii="Times New Roman" w:eastAsia="Times New Roman" w:hAnsi="Times New Roman" w:cs="Times New Roman"/>
          <w:sz w:val="24"/>
          <w:szCs w:val="24"/>
          <w:lang w:eastAsia="it-IT"/>
        </w:rPr>
        <w:t xml:space="preserve"> per la quota imputabile per competenza.</w:t>
      </w:r>
    </w:p>
    <w:p w:rsidR="001A4DE6" w:rsidRPr="001A4DE6" w:rsidRDefault="001A4DE6" w:rsidP="001A4DE6">
      <w:p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 xml:space="preserve">Per investimenti in </w:t>
      </w:r>
      <w:r w:rsidRPr="001A4DE6">
        <w:rPr>
          <w:rFonts w:ascii="Times New Roman" w:eastAsia="Times New Roman" w:hAnsi="Times New Roman" w:cs="Times New Roman"/>
          <w:b/>
          <w:bCs/>
          <w:sz w:val="24"/>
          <w:szCs w:val="24"/>
          <w:lang w:eastAsia="it-IT"/>
        </w:rPr>
        <w:t>altri beni strumentali materiali</w:t>
      </w:r>
      <w:r w:rsidRPr="001A4DE6">
        <w:rPr>
          <w:rFonts w:ascii="Times New Roman" w:eastAsia="Times New Roman" w:hAnsi="Times New Roman" w:cs="Times New Roman"/>
          <w:sz w:val="24"/>
          <w:szCs w:val="24"/>
          <w:lang w:eastAsia="it-IT"/>
        </w:rPr>
        <w:t>, diversi da quelli ricompresi nel citato allegato A, è riconosciuto un credito d'imposta nella misura del:</w:t>
      </w:r>
    </w:p>
    <w:p w:rsidR="001A4DE6" w:rsidRPr="001A4DE6" w:rsidRDefault="001A4DE6" w:rsidP="001A4DE6">
      <w:pPr>
        <w:numPr>
          <w:ilvl w:val="0"/>
          <w:numId w:val="3"/>
        </w:numPr>
        <w:spacing w:before="100" w:beforeAutospacing="1" w:after="100" w:afterAutospacing="1" w:line="240" w:lineRule="auto"/>
        <w:rPr>
          <w:rFonts w:ascii="Times New Roman" w:eastAsia="Times New Roman" w:hAnsi="Times New Roman" w:cs="Times New Roman"/>
          <w:b/>
          <w:sz w:val="24"/>
          <w:szCs w:val="24"/>
          <w:u w:val="single"/>
          <w:lang w:eastAsia="it-IT"/>
        </w:rPr>
      </w:pPr>
      <w:r w:rsidRPr="001A4DE6">
        <w:rPr>
          <w:rFonts w:ascii="Times New Roman" w:eastAsia="Times New Roman" w:hAnsi="Times New Roman" w:cs="Times New Roman"/>
          <w:b/>
          <w:sz w:val="24"/>
          <w:szCs w:val="24"/>
          <w:u w:val="single"/>
          <w:lang w:eastAsia="it-IT"/>
        </w:rPr>
        <w:t> 6% nel limite massimo dei costi ammissibili pari a 2 milioni di euro.</w:t>
      </w:r>
    </w:p>
    <w:p w:rsidR="001A4DE6" w:rsidRPr="001A4DE6" w:rsidRDefault="001A4DE6" w:rsidP="001A4DE6">
      <w:p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Il credito d'imposta è utilizzabile esclusivamente in compensazione in cinque quote annuali di pari importo, ridotte a tre per gli investimenti in beni immateriali, a decorrere dall'anno successivo a quello dell'avvenuta interconnessione per i beni di cui agli allegati A e B, ovvero di entrata in funzione per gli altri beni.</w:t>
      </w:r>
      <w:r w:rsidRPr="001A4DE6">
        <w:rPr>
          <w:rFonts w:ascii="Times New Roman" w:eastAsia="Times New Roman" w:hAnsi="Times New Roman" w:cs="Times New Roman"/>
          <w:sz w:val="24"/>
          <w:szCs w:val="24"/>
          <w:lang w:eastAsia="it-IT"/>
        </w:rPr>
        <w:br/>
      </w:r>
      <w:r w:rsidRPr="001A4DE6">
        <w:rPr>
          <w:rFonts w:ascii="Times New Roman" w:eastAsia="Times New Roman" w:hAnsi="Times New Roman" w:cs="Times New Roman"/>
          <w:sz w:val="24"/>
          <w:szCs w:val="24"/>
          <w:lang w:eastAsia="it-IT"/>
        </w:rPr>
        <w:br/>
        <w:t>Il credito d'imposta è cumulabile con altre agevolazioni che abbiano a oggetto i medesimi costi nei limiti massimi del raggiungimento del costo sostenuto.</w:t>
      </w:r>
    </w:p>
    <w:p w:rsidR="001A4DE6" w:rsidRPr="001A4DE6" w:rsidRDefault="001A4DE6" w:rsidP="001A4DE6">
      <w:p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 </w:t>
      </w:r>
    </w:p>
    <w:p w:rsidR="001A4DE6" w:rsidRPr="001A4DE6" w:rsidRDefault="001A4DE6" w:rsidP="001A4DE6">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A4DE6">
        <w:rPr>
          <w:rFonts w:ascii="Times New Roman" w:eastAsia="Times New Roman" w:hAnsi="Times New Roman" w:cs="Times New Roman"/>
          <w:b/>
          <w:bCs/>
          <w:sz w:val="36"/>
          <w:szCs w:val="36"/>
          <w:lang w:eastAsia="it-IT"/>
        </w:rPr>
        <w:t>A chi si rivolge</w:t>
      </w:r>
    </w:p>
    <w:p w:rsidR="001A4DE6" w:rsidRPr="001A4DE6" w:rsidRDefault="001A4DE6" w:rsidP="001A4DE6">
      <w:p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Tutte le imprese residenti nel territorio dello Stato, incluse le stabili organizzazioni di soggetti non residenti, indipendentemente dalla natura giuridica, dal settore economico di appartenenza, dalla dimensione, dal regime contabile e dal sistema di determinazione del reddito ai fini fiscali.</w:t>
      </w:r>
      <w:r w:rsidRPr="001A4DE6">
        <w:rPr>
          <w:rFonts w:ascii="Times New Roman" w:eastAsia="Times New Roman" w:hAnsi="Times New Roman" w:cs="Times New Roman"/>
          <w:sz w:val="24"/>
          <w:szCs w:val="24"/>
          <w:lang w:eastAsia="it-IT"/>
        </w:rPr>
        <w:br/>
      </w:r>
      <w:r w:rsidRPr="001A4DE6">
        <w:rPr>
          <w:rFonts w:ascii="Times New Roman" w:eastAsia="Times New Roman" w:hAnsi="Times New Roman" w:cs="Times New Roman"/>
          <w:sz w:val="24"/>
          <w:szCs w:val="24"/>
          <w:lang w:eastAsia="it-IT"/>
        </w:rPr>
        <w:br/>
        <w:t xml:space="preserve">Il credito d'imposta del 6% per gli investimenti in altri beni strumentali materiali è riconosciuto </w:t>
      </w:r>
      <w:r w:rsidRPr="001A4DE6">
        <w:rPr>
          <w:rFonts w:ascii="Times New Roman" w:eastAsia="Times New Roman" w:hAnsi="Times New Roman" w:cs="Times New Roman"/>
          <w:sz w:val="24"/>
          <w:szCs w:val="24"/>
          <w:lang w:eastAsia="it-IT"/>
        </w:rPr>
        <w:lastRenderedPageBreak/>
        <w:t>anche agli esercenti arti e professioni.</w:t>
      </w:r>
      <w:r w:rsidRPr="001A4DE6">
        <w:rPr>
          <w:rFonts w:ascii="Times New Roman" w:eastAsia="Times New Roman" w:hAnsi="Times New Roman" w:cs="Times New Roman"/>
          <w:sz w:val="24"/>
          <w:szCs w:val="24"/>
          <w:lang w:eastAsia="it-IT"/>
        </w:rPr>
        <w:br/>
      </w:r>
      <w:r w:rsidRPr="001A4DE6">
        <w:rPr>
          <w:rFonts w:ascii="Times New Roman" w:eastAsia="Times New Roman" w:hAnsi="Times New Roman" w:cs="Times New Roman"/>
          <w:sz w:val="24"/>
          <w:szCs w:val="24"/>
          <w:lang w:eastAsia="it-IT"/>
        </w:rPr>
        <w:br/>
        <w:t xml:space="preserve">Sono escluse le imprese in stato di liquidazione volontaria, fallimento, liquidazione coatta amministrativa, concordato preventivo senza continuità aziendale, altra procedura concorsuale. Sono inoltre escluse le imprese destinatarie di sanzioni </w:t>
      </w:r>
      <w:proofErr w:type="spellStart"/>
      <w:r w:rsidRPr="001A4DE6">
        <w:rPr>
          <w:rFonts w:ascii="Times New Roman" w:eastAsia="Times New Roman" w:hAnsi="Times New Roman" w:cs="Times New Roman"/>
          <w:sz w:val="24"/>
          <w:szCs w:val="24"/>
          <w:lang w:eastAsia="it-IT"/>
        </w:rPr>
        <w:t>interdittive</w:t>
      </w:r>
      <w:proofErr w:type="spellEnd"/>
      <w:r w:rsidRPr="001A4DE6">
        <w:rPr>
          <w:rFonts w:ascii="Times New Roman" w:eastAsia="Times New Roman" w:hAnsi="Times New Roman" w:cs="Times New Roman"/>
          <w:sz w:val="24"/>
          <w:szCs w:val="24"/>
          <w:lang w:eastAsia="it-IT"/>
        </w:rPr>
        <w:t xml:space="preserve"> ai sensi dell'articolo 9, comma 2, del decreto legislativo 8 giugno 2001, n. 231.</w:t>
      </w:r>
      <w:r w:rsidRPr="001A4DE6">
        <w:rPr>
          <w:rFonts w:ascii="Times New Roman" w:eastAsia="Times New Roman" w:hAnsi="Times New Roman" w:cs="Times New Roman"/>
          <w:sz w:val="24"/>
          <w:szCs w:val="24"/>
          <w:lang w:eastAsia="it-IT"/>
        </w:rPr>
        <w:br/>
      </w:r>
      <w:r w:rsidRPr="001A4DE6">
        <w:rPr>
          <w:rFonts w:ascii="Times New Roman" w:eastAsia="Times New Roman" w:hAnsi="Times New Roman" w:cs="Times New Roman"/>
          <w:sz w:val="24"/>
          <w:szCs w:val="24"/>
          <w:lang w:eastAsia="it-IT"/>
        </w:rPr>
        <w:br/>
        <w:t>La fruizione del beneficio spettante è subordinata alla condizione del rispetto delle normative sulla sicurezza nei luoghi di lavoro e al corretto adempimento degli obblighi di versamento dei contributi previdenziali e assistenziali a favore dei lavoratori.</w:t>
      </w:r>
    </w:p>
    <w:p w:rsidR="001A4DE6" w:rsidRPr="001A4DE6" w:rsidRDefault="001A4DE6" w:rsidP="001A4DE6">
      <w:p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 </w:t>
      </w:r>
    </w:p>
    <w:p w:rsidR="001A4DE6" w:rsidRPr="001A4DE6" w:rsidRDefault="001A4DE6" w:rsidP="001A4DE6">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A4DE6">
        <w:rPr>
          <w:rFonts w:ascii="Times New Roman" w:eastAsia="Times New Roman" w:hAnsi="Times New Roman" w:cs="Times New Roman"/>
          <w:b/>
          <w:bCs/>
          <w:sz w:val="36"/>
          <w:szCs w:val="36"/>
          <w:lang w:eastAsia="it-IT"/>
        </w:rPr>
        <w:t>Come si accede</w:t>
      </w:r>
    </w:p>
    <w:p w:rsidR="001A4DE6" w:rsidRPr="001A4DE6" w:rsidRDefault="001A4DE6" w:rsidP="001A4DE6">
      <w:p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b/>
          <w:sz w:val="24"/>
          <w:szCs w:val="24"/>
          <w:u w:val="single"/>
          <w:lang w:eastAsia="it-IT"/>
        </w:rPr>
        <w:t xml:space="preserve">Il credito si applica agli investimenti effettuati a decorrere </w:t>
      </w:r>
      <w:r w:rsidRPr="001A4DE6">
        <w:rPr>
          <w:rFonts w:ascii="Times New Roman" w:eastAsia="Times New Roman" w:hAnsi="Times New Roman" w:cs="Times New Roman"/>
          <w:b/>
          <w:bCs/>
          <w:sz w:val="24"/>
          <w:szCs w:val="24"/>
          <w:u w:val="single"/>
          <w:lang w:eastAsia="it-IT"/>
        </w:rPr>
        <w:t>dal 1 gennaio 2020</w:t>
      </w:r>
      <w:r w:rsidRPr="001A4DE6">
        <w:rPr>
          <w:rFonts w:ascii="Times New Roman" w:eastAsia="Times New Roman" w:hAnsi="Times New Roman" w:cs="Times New Roman"/>
          <w:b/>
          <w:sz w:val="24"/>
          <w:szCs w:val="24"/>
          <w:u w:val="single"/>
          <w:lang w:eastAsia="it-IT"/>
        </w:rPr>
        <w:t xml:space="preserve"> e fino al 31 dicembre 2020, ovvero entro il 30 giugno 2021 a condizione che entro il 2020 il relativo ordine risulti accettato dal venditore e sia avvenuto il pagamento di acconti in misura almeno pari al 20% del costo di acquisizione.</w:t>
      </w:r>
      <w:bookmarkStart w:id="0" w:name="_GoBack"/>
      <w:bookmarkEnd w:id="0"/>
      <w:r w:rsidRPr="001A4DE6">
        <w:rPr>
          <w:rFonts w:ascii="Times New Roman" w:eastAsia="Times New Roman" w:hAnsi="Times New Roman" w:cs="Times New Roman"/>
          <w:sz w:val="24"/>
          <w:szCs w:val="24"/>
          <w:lang w:eastAsia="it-IT"/>
        </w:rPr>
        <w:br/>
      </w:r>
      <w:r w:rsidRPr="001A4DE6">
        <w:rPr>
          <w:rFonts w:ascii="Times New Roman" w:eastAsia="Times New Roman" w:hAnsi="Times New Roman" w:cs="Times New Roman"/>
          <w:sz w:val="24"/>
          <w:szCs w:val="24"/>
          <w:lang w:eastAsia="it-IT"/>
        </w:rPr>
        <w:br/>
        <w:t>Per i beni tecnologicamente avanzati e immateriali, le imprese sono tenute a produrre una perizia tecnica semplice rilasciata da un ingegnere o da un perito industriale iscritti nei rispettivi albi professionali o un attestato di conformità rilasciato da un ente di certificazione accreditato, da cui risulti che i beni possiedono caratteristiche tecniche tali da includerli rispettivamente negli elenchi di cui ai richiamati allegati A e B e sono interconnessi al sistema aziendale di gestione della produzione o alla rete di fornitura. Per i beni di costo unitario di acquisizione non superiore a 300.000 euro è sufficiente una dichiarazione resa dal legale rappresentante.</w:t>
      </w:r>
    </w:p>
    <w:p w:rsidR="001A4DE6" w:rsidRPr="001A4DE6" w:rsidRDefault="001A4DE6" w:rsidP="001A4DE6">
      <w:p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Le imprese che intendono fruire dell’agevolazione sono tenute ad effettuare una comunicazione al Ministero dello sviluppo economico. Il modello, il contenuto, le modalità e i termini di invio della comunicazione saranno stabiliti con apposito decreto direttoriale. La comunicazione è richiesta al solo fine di acquisire le informazioni necessarie per valutare l’andamento, la diffusione e l’efficacia delle misure agevolative.</w:t>
      </w:r>
    </w:p>
    <w:p w:rsidR="001A4DE6" w:rsidRPr="001A4DE6" w:rsidRDefault="001A4DE6" w:rsidP="001A4DE6">
      <w:pPr>
        <w:spacing w:before="100" w:beforeAutospacing="1" w:after="100" w:afterAutospacing="1" w:line="240" w:lineRule="auto"/>
        <w:rPr>
          <w:rFonts w:ascii="Times New Roman" w:eastAsia="Times New Roman" w:hAnsi="Times New Roman" w:cs="Times New Roman"/>
          <w:sz w:val="24"/>
          <w:szCs w:val="24"/>
          <w:lang w:eastAsia="it-IT"/>
        </w:rPr>
      </w:pPr>
      <w:r w:rsidRPr="001A4DE6">
        <w:rPr>
          <w:rFonts w:ascii="Times New Roman" w:eastAsia="Times New Roman" w:hAnsi="Times New Roman" w:cs="Times New Roman"/>
          <w:sz w:val="24"/>
          <w:szCs w:val="24"/>
          <w:lang w:eastAsia="it-IT"/>
        </w:rPr>
        <w:t> </w:t>
      </w:r>
    </w:p>
    <w:sectPr w:rsidR="001A4DE6" w:rsidRPr="001A4D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31DA"/>
    <w:multiLevelType w:val="multilevel"/>
    <w:tmpl w:val="741C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C245D"/>
    <w:multiLevelType w:val="multilevel"/>
    <w:tmpl w:val="6F104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05424"/>
    <w:multiLevelType w:val="multilevel"/>
    <w:tmpl w:val="7D36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9608A"/>
    <w:multiLevelType w:val="multilevel"/>
    <w:tmpl w:val="D462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C0FC6"/>
    <w:multiLevelType w:val="multilevel"/>
    <w:tmpl w:val="8C90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E6"/>
    <w:rsid w:val="0010552D"/>
    <w:rsid w:val="001058FA"/>
    <w:rsid w:val="001A4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88122">
      <w:bodyDiv w:val="1"/>
      <w:marLeft w:val="0"/>
      <w:marRight w:val="0"/>
      <w:marTop w:val="0"/>
      <w:marBottom w:val="0"/>
      <w:divBdr>
        <w:top w:val="none" w:sz="0" w:space="0" w:color="auto"/>
        <w:left w:val="none" w:sz="0" w:space="0" w:color="auto"/>
        <w:bottom w:val="none" w:sz="0" w:space="0" w:color="auto"/>
        <w:right w:val="none" w:sz="0" w:space="0" w:color="auto"/>
      </w:divBdr>
      <w:divsChild>
        <w:div w:id="1464542049">
          <w:marLeft w:val="0"/>
          <w:marRight w:val="0"/>
          <w:marTop w:val="0"/>
          <w:marBottom w:val="0"/>
          <w:divBdr>
            <w:top w:val="none" w:sz="0" w:space="0" w:color="auto"/>
            <w:left w:val="none" w:sz="0" w:space="0" w:color="auto"/>
            <w:bottom w:val="none" w:sz="0" w:space="0" w:color="auto"/>
            <w:right w:val="none" w:sz="0" w:space="0" w:color="auto"/>
          </w:divBdr>
        </w:div>
        <w:div w:id="1478763122">
          <w:marLeft w:val="0"/>
          <w:marRight w:val="0"/>
          <w:marTop w:val="0"/>
          <w:marBottom w:val="0"/>
          <w:divBdr>
            <w:top w:val="none" w:sz="0" w:space="0" w:color="auto"/>
            <w:left w:val="none" w:sz="0" w:space="0" w:color="auto"/>
            <w:bottom w:val="none" w:sz="0" w:space="0" w:color="auto"/>
            <w:right w:val="none" w:sz="0" w:space="0" w:color="auto"/>
          </w:divBdr>
        </w:div>
        <w:div w:id="1815219562">
          <w:marLeft w:val="0"/>
          <w:marRight w:val="0"/>
          <w:marTop w:val="0"/>
          <w:marBottom w:val="0"/>
          <w:divBdr>
            <w:top w:val="none" w:sz="0" w:space="0" w:color="auto"/>
            <w:left w:val="none" w:sz="0" w:space="0" w:color="auto"/>
            <w:bottom w:val="none" w:sz="0" w:space="0" w:color="auto"/>
            <w:right w:val="none" w:sz="0" w:space="0" w:color="auto"/>
          </w:divBdr>
          <w:divsChild>
            <w:div w:id="1637493766">
              <w:marLeft w:val="0"/>
              <w:marRight w:val="0"/>
              <w:marTop w:val="0"/>
              <w:marBottom w:val="0"/>
              <w:divBdr>
                <w:top w:val="none" w:sz="0" w:space="0" w:color="auto"/>
                <w:left w:val="none" w:sz="0" w:space="0" w:color="auto"/>
                <w:bottom w:val="none" w:sz="0" w:space="0" w:color="auto"/>
                <w:right w:val="none" w:sz="0" w:space="0" w:color="auto"/>
              </w:divBdr>
            </w:div>
          </w:divsChild>
        </w:div>
        <w:div w:id="475416700">
          <w:marLeft w:val="0"/>
          <w:marRight w:val="0"/>
          <w:marTop w:val="0"/>
          <w:marBottom w:val="0"/>
          <w:divBdr>
            <w:top w:val="none" w:sz="0" w:space="0" w:color="auto"/>
            <w:left w:val="none" w:sz="0" w:space="0" w:color="auto"/>
            <w:bottom w:val="none" w:sz="0" w:space="0" w:color="auto"/>
            <w:right w:val="none" w:sz="0" w:space="0" w:color="auto"/>
          </w:divBdr>
          <w:divsChild>
            <w:div w:id="926383831">
              <w:marLeft w:val="0"/>
              <w:marRight w:val="0"/>
              <w:marTop w:val="0"/>
              <w:marBottom w:val="0"/>
              <w:divBdr>
                <w:top w:val="none" w:sz="0" w:space="0" w:color="auto"/>
                <w:left w:val="none" w:sz="0" w:space="0" w:color="auto"/>
                <w:bottom w:val="none" w:sz="0" w:space="0" w:color="auto"/>
                <w:right w:val="none" w:sz="0" w:space="0" w:color="auto"/>
              </w:divBdr>
              <w:divsChild>
                <w:div w:id="1448158495">
                  <w:marLeft w:val="0"/>
                  <w:marRight w:val="0"/>
                  <w:marTop w:val="0"/>
                  <w:marBottom w:val="0"/>
                  <w:divBdr>
                    <w:top w:val="none" w:sz="0" w:space="0" w:color="auto"/>
                    <w:left w:val="none" w:sz="0" w:space="0" w:color="auto"/>
                    <w:bottom w:val="none" w:sz="0" w:space="0" w:color="auto"/>
                    <w:right w:val="none" w:sz="0" w:space="0" w:color="auto"/>
                  </w:divBdr>
                  <w:divsChild>
                    <w:div w:id="3683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38343">
          <w:marLeft w:val="0"/>
          <w:marRight w:val="0"/>
          <w:marTop w:val="0"/>
          <w:marBottom w:val="0"/>
          <w:divBdr>
            <w:top w:val="none" w:sz="0" w:space="0" w:color="auto"/>
            <w:left w:val="none" w:sz="0" w:space="0" w:color="auto"/>
            <w:bottom w:val="none" w:sz="0" w:space="0" w:color="auto"/>
            <w:right w:val="none" w:sz="0" w:space="0" w:color="auto"/>
          </w:divBdr>
          <w:divsChild>
            <w:div w:id="406461950">
              <w:marLeft w:val="0"/>
              <w:marRight w:val="0"/>
              <w:marTop w:val="0"/>
              <w:marBottom w:val="0"/>
              <w:divBdr>
                <w:top w:val="none" w:sz="0" w:space="0" w:color="auto"/>
                <w:left w:val="none" w:sz="0" w:space="0" w:color="auto"/>
                <w:bottom w:val="none" w:sz="0" w:space="0" w:color="auto"/>
                <w:right w:val="none" w:sz="0" w:space="0" w:color="auto"/>
              </w:divBdr>
              <w:divsChild>
                <w:div w:id="836382737">
                  <w:marLeft w:val="0"/>
                  <w:marRight w:val="0"/>
                  <w:marTop w:val="0"/>
                  <w:marBottom w:val="0"/>
                  <w:divBdr>
                    <w:top w:val="none" w:sz="0" w:space="0" w:color="auto"/>
                    <w:left w:val="none" w:sz="0" w:space="0" w:color="auto"/>
                    <w:bottom w:val="none" w:sz="0" w:space="0" w:color="auto"/>
                    <w:right w:val="none" w:sz="0" w:space="0" w:color="auto"/>
                  </w:divBdr>
                  <w:divsChild>
                    <w:div w:id="17481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e.gov.it/images/stories/documenti/Allegato_B_2016.pdf" TargetMode="External"/><Relationship Id="rId3" Type="http://schemas.microsoft.com/office/2007/relationships/stylesWithEffects" Target="stylesWithEffects.xml"/><Relationship Id="rId7" Type="http://schemas.openxmlformats.org/officeDocument/2006/relationships/hyperlink" Target="https://www.mise.gov.it/images/stories/documenti/Allegato_A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enziaentrate.gov.it/portale/documents/20143/2707899/Risposta+n.+438+del+5+ottobre+2020.pdf/6faf0477-05c9-bcd0-6299-579f7163a3a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1190</Words>
  <Characters>6787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dc:creator>
  <cp:lastModifiedBy>w1</cp:lastModifiedBy>
  <cp:revision>1</cp:revision>
  <dcterms:created xsi:type="dcterms:W3CDTF">2020-10-21T14:57:00Z</dcterms:created>
  <dcterms:modified xsi:type="dcterms:W3CDTF">2020-10-21T15:00:00Z</dcterms:modified>
</cp:coreProperties>
</file>